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eastAsia="zh-CN"/>
        </w:rPr>
      </w:pPr>
    </w:p>
    <w:tbl>
      <w:tblPr>
        <w:tblStyle w:val="3"/>
        <w:tblpPr w:leftFromText="180" w:rightFromText="180" w:vertAnchor="text" w:horzAnchor="page" w:tblpX="1293" w:tblpY="141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54"/>
        <w:gridCol w:w="869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75" w:type="pct"/>
            <w:vAlign w:val="top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07" w:type="pct"/>
            <w:vAlign w:val="top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权力类型</w:t>
            </w:r>
          </w:p>
        </w:tc>
        <w:tc>
          <w:tcPr>
            <w:tcW w:w="3066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重大执法决定法制审核目录</w:t>
            </w:r>
          </w:p>
        </w:tc>
        <w:tc>
          <w:tcPr>
            <w:tcW w:w="1250" w:type="pct"/>
            <w:vAlign w:val="top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重大执法决定法制审核标准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275" w:type="pct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7" w:type="pc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3066" w:type="pct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一）粮食收购者未执行国家粮食标准的、被售粮者举报未及时支付售粮款的、违反条例规定代扣、代缴税、费和其他款项的；粮食经营者以及饲料工业用粮未建立粮食经营台账的、未按规定报送粮食基本数据和有关情况的、未执行国家有关政策的，对法人或其他组织处以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</w:rPr>
              <w:t>（含）万元以上的罚款；没收违法所得数额或者没收非法财物价值相当于以上数额的，或其他较重违法行为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严重违法行为、特别严重违法行为的；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（二）处暂停取消粮食收购资格的；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（三）从轻处罚、从重处罚的；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（四）涉及重大国家利益和公共利益、案件情况复杂或者社会影响较大、需经听证程序作出决定的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</w:rPr>
              <w:t>或法律、法规、规章规定应当进行法制审核的其他行政处罚决定事项。</w:t>
            </w:r>
          </w:p>
        </w:tc>
        <w:tc>
          <w:tcPr>
            <w:tcW w:w="1250" w:type="pct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（一）是否超越本部门执法权限；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</w:t>
            </w:r>
            <w:r>
              <w:rPr>
                <w:rFonts w:hint="eastAsia"/>
                <w:lang w:eastAsia="zh-CN"/>
              </w:rPr>
              <w:t>事</w:t>
            </w:r>
            <w:r>
              <w:rPr>
                <w:rFonts w:hint="eastAsia"/>
              </w:rPr>
              <w:t>实是否清楚，证据是否确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凿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适用依据是否准确</w:t>
            </w:r>
            <w:r>
              <w:rPr>
                <w:rFonts w:hint="eastAsia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（三）自由裁量权是否适当；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（四）程序是否合法；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（五）法律文书制作是否规范；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（六）其他依法应当审核的内容。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75" w:type="pct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7" w:type="pc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3066" w:type="pct"/>
          </w:tcPr>
          <w:p>
            <w:pPr>
              <w:numPr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numPr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numPr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（一）对粮食收购资格申请不予许可的；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（二）对粮食收购许可不予延续的；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）涉及重大国家利益和公共利益、案件情况复杂或者社会影响</w:t>
            </w:r>
            <w:r>
              <w:rPr>
                <w:rFonts w:hint="eastAsia"/>
                <w:lang w:eastAsia="zh-CN"/>
              </w:rPr>
              <w:t>较</w:t>
            </w:r>
            <w:r>
              <w:rPr>
                <w:rFonts w:hint="eastAsia"/>
              </w:rPr>
              <w:t>大、需经听证程序作出决定的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或法律、法规、规章规定应当进行法制审核的其他行政</w:t>
            </w:r>
            <w:r>
              <w:rPr>
                <w:rFonts w:hint="eastAsia"/>
                <w:lang w:eastAsia="zh-CN"/>
              </w:rPr>
              <w:t>许可</w:t>
            </w:r>
            <w:r>
              <w:rPr>
                <w:rFonts w:hint="eastAsia"/>
              </w:rPr>
              <w:t>决定事项。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250" w:type="pct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</w:tbl>
    <w:p>
      <w:pPr>
        <w:ind w:firstLine="522" w:firstLineChars="100"/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洛阳市粮食和物资储备局重大执法决定法治审核目录清单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C7242"/>
    <w:rsid w:val="1EC35A05"/>
    <w:rsid w:val="216D4D60"/>
    <w:rsid w:val="21897C47"/>
    <w:rsid w:val="226C3997"/>
    <w:rsid w:val="24450403"/>
    <w:rsid w:val="286F1DFB"/>
    <w:rsid w:val="2A280BD8"/>
    <w:rsid w:val="2B02540D"/>
    <w:rsid w:val="2B0A3575"/>
    <w:rsid w:val="31D073AE"/>
    <w:rsid w:val="33D30731"/>
    <w:rsid w:val="35293CAB"/>
    <w:rsid w:val="3BEB420C"/>
    <w:rsid w:val="3D580F01"/>
    <w:rsid w:val="4B840DC0"/>
    <w:rsid w:val="4CC0748F"/>
    <w:rsid w:val="4EE35B21"/>
    <w:rsid w:val="54EB1B0C"/>
    <w:rsid w:val="55F81909"/>
    <w:rsid w:val="571B78DB"/>
    <w:rsid w:val="5B1E6929"/>
    <w:rsid w:val="60A04D61"/>
    <w:rsid w:val="65AA3738"/>
    <w:rsid w:val="65C556D8"/>
    <w:rsid w:val="661E3618"/>
    <w:rsid w:val="695E136B"/>
    <w:rsid w:val="6A1143F0"/>
    <w:rsid w:val="6D0158DA"/>
    <w:rsid w:val="705A14BE"/>
    <w:rsid w:val="71F904E7"/>
    <w:rsid w:val="790D2549"/>
    <w:rsid w:val="7FB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2021-01-05T08:06:01Z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